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0B" w:rsidRDefault="0068190B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bookmarkStart w:id="0" w:name="_MailOriginal"/>
      <w:bookmarkStart w:id="1" w:name="OLE_LINK1"/>
    </w:p>
    <w:p w:rsidR="0068190B" w:rsidRDefault="007337F7" w:rsidP="007337F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a</w:t>
      </w:r>
      <w:r w:rsidR="0068190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etka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-Mitglieder profitieren vom boomenden Onlinehandel</w:t>
      </w:r>
      <w:r w:rsidR="0068190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anderer</w:t>
      </w:r>
    </w:p>
    <w:p w:rsidR="00BE2D67" w:rsidRPr="001B3D92" w:rsidRDefault="00BE2D67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:rsidR="00435F1F" w:rsidRDefault="00D03457" w:rsidP="00435F1F">
      <w:pPr>
        <w:spacing w:after="120" w:line="252" w:lineRule="exact"/>
        <w:jc w:val="both"/>
        <w:rPr>
          <w:rFonts w:ascii="Arial" w:hAnsi="Arial" w:cs="Arial"/>
          <w:b/>
        </w:rPr>
      </w:pPr>
      <w:r w:rsidRPr="0049361D">
        <w:rPr>
          <w:rFonts w:ascii="Arial" w:hAnsi="Arial" w:cs="Arial"/>
          <w:b/>
        </w:rPr>
        <w:t>„</w:t>
      </w:r>
      <w:r w:rsidR="007337F7">
        <w:rPr>
          <w:rFonts w:ascii="Arial" w:hAnsi="Arial" w:cs="Arial"/>
          <w:b/>
        </w:rPr>
        <w:t>Viele der</w:t>
      </w:r>
      <w:r w:rsidRPr="0049361D">
        <w:rPr>
          <w:rFonts w:ascii="Arial" w:hAnsi="Arial" w:cs="Arial"/>
          <w:b/>
        </w:rPr>
        <w:t xml:space="preserve"> Maßnahmen, mit denen wir unsere Mitglieder unterstützen, </w:t>
      </w:r>
      <w:r w:rsidR="007337F7">
        <w:rPr>
          <w:rFonts w:ascii="Arial" w:hAnsi="Arial" w:cs="Arial"/>
          <w:b/>
        </w:rPr>
        <w:t xml:space="preserve">haben im Fokus, </w:t>
      </w:r>
      <w:r w:rsidR="0049361D" w:rsidRPr="0049361D">
        <w:rPr>
          <w:rFonts w:ascii="Arial" w:hAnsi="Arial" w:cs="Arial"/>
          <w:b/>
        </w:rPr>
        <w:t xml:space="preserve"> </w:t>
      </w:r>
      <w:r w:rsidR="007337F7">
        <w:rPr>
          <w:rFonts w:ascii="Arial" w:hAnsi="Arial" w:cs="Arial"/>
          <w:b/>
        </w:rPr>
        <w:t>f</w:t>
      </w:r>
      <w:r w:rsidRPr="0049361D">
        <w:rPr>
          <w:rFonts w:ascii="Arial" w:hAnsi="Arial" w:cs="Arial"/>
          <w:b/>
        </w:rPr>
        <w:t xml:space="preserve">ür mehr Kundenfrequenz in den Geschäften unserer Partner zu sorgen“, </w:t>
      </w:r>
      <w:r w:rsidR="009C4427" w:rsidRPr="0049361D">
        <w:rPr>
          <w:rFonts w:ascii="Arial" w:hAnsi="Arial" w:cs="Arial"/>
          <w:b/>
        </w:rPr>
        <w:t>formuliert</w:t>
      </w:r>
      <w:r w:rsidRPr="0049361D">
        <w:rPr>
          <w:rFonts w:ascii="Arial" w:hAnsi="Arial" w:cs="Arial"/>
          <w:b/>
        </w:rPr>
        <w:t xml:space="preserve"> aetka-Chef Uwe Bauer </w:t>
      </w:r>
      <w:r w:rsidR="0049361D" w:rsidRPr="0049361D">
        <w:rPr>
          <w:rFonts w:ascii="Arial" w:hAnsi="Arial" w:cs="Arial"/>
          <w:b/>
        </w:rPr>
        <w:t>die Ausrichtung</w:t>
      </w:r>
      <w:r w:rsidRPr="0049361D">
        <w:rPr>
          <w:rFonts w:ascii="Arial" w:hAnsi="Arial" w:cs="Arial"/>
          <w:b/>
        </w:rPr>
        <w:t xml:space="preserve"> der </w:t>
      </w:r>
      <w:r w:rsidR="009C4427" w:rsidRPr="0049361D">
        <w:rPr>
          <w:rFonts w:ascii="Arial" w:hAnsi="Arial" w:cs="Arial"/>
          <w:b/>
        </w:rPr>
        <w:t>Fachhandelskooperation in Bezug auf die</w:t>
      </w:r>
      <w:r w:rsidR="0049361D" w:rsidRPr="0049361D">
        <w:rPr>
          <w:rFonts w:ascii="Arial" w:hAnsi="Arial" w:cs="Arial"/>
          <w:b/>
        </w:rPr>
        <w:t xml:space="preserve"> Leistungen des Verbundes. </w:t>
      </w:r>
      <w:r w:rsidR="00435F1F">
        <w:rPr>
          <w:rFonts w:ascii="Arial" w:hAnsi="Arial" w:cs="Arial"/>
          <w:b/>
        </w:rPr>
        <w:t>Mit der neuesten Maßnahme profitieren aetka-Partner ab sofort vom boomenden Onlinehandel anderer.</w:t>
      </w:r>
    </w:p>
    <w:p w:rsidR="00435F1F" w:rsidRPr="00830B33" w:rsidRDefault="00435F1F" w:rsidP="00435F1F">
      <w:pPr>
        <w:spacing w:after="120" w:line="252" w:lineRule="exact"/>
        <w:jc w:val="both"/>
        <w:rPr>
          <w:rFonts w:ascii="Arial" w:hAnsi="Arial" w:cs="Arial"/>
        </w:rPr>
      </w:pPr>
      <w:r w:rsidRPr="00435F1F">
        <w:rPr>
          <w:rFonts w:ascii="Arial" w:hAnsi="Arial" w:cs="Arial"/>
        </w:rPr>
        <w:t xml:space="preserve">Über eine Kooperationsvereinbarung mit </w:t>
      </w:r>
      <w:r w:rsidR="00EB53A5">
        <w:rPr>
          <w:rFonts w:ascii="Arial" w:hAnsi="Arial" w:cs="Arial"/>
        </w:rPr>
        <w:t xml:space="preserve">Deutsche Post </w:t>
      </w:r>
      <w:r w:rsidRPr="00435F1F">
        <w:rPr>
          <w:rFonts w:ascii="Arial" w:hAnsi="Arial" w:cs="Arial"/>
        </w:rPr>
        <w:t xml:space="preserve">DHL haben Mitglieder des aetka-Verbundes ab sofort die Möglichkeit, </w:t>
      </w:r>
      <w:r>
        <w:rPr>
          <w:rFonts w:ascii="Arial" w:hAnsi="Arial" w:cs="Arial"/>
        </w:rPr>
        <w:t xml:space="preserve">einen DHL Paketshop zu eröffnen und darüber </w:t>
      </w:r>
      <w:r w:rsidR="00A907B0">
        <w:rPr>
          <w:rFonts w:ascii="Arial" w:hAnsi="Arial" w:cs="Arial"/>
        </w:rPr>
        <w:t>schnell</w:t>
      </w:r>
      <w:r>
        <w:rPr>
          <w:rFonts w:ascii="Arial" w:hAnsi="Arial" w:cs="Arial"/>
        </w:rPr>
        <w:t xml:space="preserve"> und ohne finanziellen Aufwand mit neu</w:t>
      </w:r>
      <w:r w:rsidR="00393E86">
        <w:rPr>
          <w:rFonts w:ascii="Arial" w:hAnsi="Arial" w:cs="Arial"/>
        </w:rPr>
        <w:t>en Kunden in Kontakt zu kommen.</w:t>
      </w:r>
    </w:p>
    <w:p w:rsidR="00830B33" w:rsidRDefault="00830B33" w:rsidP="00435F1F">
      <w:pPr>
        <w:spacing w:after="120" w:line="252" w:lineRule="exact"/>
        <w:jc w:val="both"/>
        <w:rPr>
          <w:rFonts w:ascii="Arial" w:hAnsi="Arial" w:cs="Arial"/>
        </w:rPr>
      </w:pPr>
      <w:r w:rsidRPr="00830B33">
        <w:rPr>
          <w:rFonts w:ascii="Arial" w:hAnsi="Arial" w:cs="Arial"/>
        </w:rPr>
        <w:t>„Das Internet ist das Beste, was dem stationären Fachhandel passieren k</w:t>
      </w:r>
      <w:r w:rsidR="001E2827">
        <w:rPr>
          <w:rFonts w:ascii="Arial" w:hAnsi="Arial" w:cs="Arial"/>
        </w:rPr>
        <w:t>ann</w:t>
      </w:r>
      <w:r>
        <w:rPr>
          <w:rFonts w:ascii="Arial" w:hAnsi="Arial" w:cs="Arial"/>
        </w:rPr>
        <w:t>. Dieser Kernsatz unserer Kooperation</w:t>
      </w:r>
      <w:r w:rsidRPr="00830B33">
        <w:rPr>
          <w:rFonts w:ascii="Arial" w:hAnsi="Arial" w:cs="Arial"/>
        </w:rPr>
        <w:t xml:space="preserve"> bekommt in dem Zusammenhang noch eine ganz andere Bedeutung. </w:t>
      </w:r>
      <w:r w:rsidR="007337F7">
        <w:rPr>
          <w:rFonts w:ascii="Arial" w:hAnsi="Arial" w:cs="Arial"/>
        </w:rPr>
        <w:t xml:space="preserve">Denn hierbei profitieren unsere Partner vom boomenden Onlinehandel </w:t>
      </w:r>
      <w:r w:rsidR="007C7B17">
        <w:rPr>
          <w:rFonts w:ascii="Arial" w:hAnsi="Arial" w:cs="Arial"/>
        </w:rPr>
        <w:t>anderer</w:t>
      </w:r>
      <w:r>
        <w:rPr>
          <w:rFonts w:ascii="Arial" w:hAnsi="Arial" w:cs="Arial"/>
        </w:rPr>
        <w:t>“, so Bauer.</w:t>
      </w:r>
    </w:p>
    <w:p w:rsidR="00213D85" w:rsidRPr="004B6893" w:rsidRDefault="00213D85" w:rsidP="00435F1F">
      <w:pPr>
        <w:spacing w:after="120" w:line="25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aetka-</w:t>
      </w:r>
      <w:r w:rsidR="00393E86" w:rsidRPr="004B6893">
        <w:rPr>
          <w:rFonts w:ascii="Arial" w:hAnsi="Arial" w:cs="Arial"/>
        </w:rPr>
        <w:t xml:space="preserve">Partner, </w:t>
      </w:r>
      <w:r w:rsidR="004D3A7A" w:rsidRPr="004B6893">
        <w:rPr>
          <w:rFonts w:ascii="Arial" w:hAnsi="Arial" w:cs="Arial"/>
        </w:rPr>
        <w:t xml:space="preserve">die </w:t>
      </w:r>
      <w:r w:rsidRPr="004B6893">
        <w:rPr>
          <w:rFonts w:ascii="Arial" w:hAnsi="Arial" w:cs="Arial"/>
        </w:rPr>
        <w:t>sich für die Eröffnung eines DHL-Paketshops in ihren Geschäftsräumen entscheiden, profitieren über die Sendungsannahme, Sendungsausgabe sowie den Verkauf von Post-Produkten u.a. von folgenden Vorteilen:</w:t>
      </w:r>
    </w:p>
    <w:p w:rsidR="00393E86" w:rsidRPr="004B6893" w:rsidRDefault="00393E86" w:rsidP="001E2827">
      <w:pPr>
        <w:pStyle w:val="Listenabsatz"/>
        <w:numPr>
          <w:ilvl w:val="0"/>
          <w:numId w:val="6"/>
        </w:numPr>
        <w:spacing w:after="100" w:afterAutospacing="1" w:line="252" w:lineRule="exact"/>
        <w:ind w:left="360"/>
        <w:jc w:val="both"/>
        <w:rPr>
          <w:rFonts w:ascii="Arial" w:hAnsi="Arial" w:cs="Arial"/>
        </w:rPr>
      </w:pPr>
      <w:r w:rsidRPr="004B6893">
        <w:rPr>
          <w:rFonts w:ascii="Arial" w:hAnsi="Arial" w:cs="Arial"/>
        </w:rPr>
        <w:t>Umsatzpotential durch mehr Laufkundschaft</w:t>
      </w:r>
    </w:p>
    <w:p w:rsidR="007C7B17" w:rsidRPr="007C7B17" w:rsidRDefault="007C7B17" w:rsidP="007C7B17">
      <w:pPr>
        <w:pStyle w:val="Listenabsatz"/>
        <w:numPr>
          <w:ilvl w:val="0"/>
          <w:numId w:val="6"/>
        </w:numPr>
        <w:spacing w:after="100" w:afterAutospacing="1" w:line="252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Zusatzeinnahmen/</w:t>
      </w:r>
      <w:r w:rsidR="004B6893" w:rsidRPr="004B6893">
        <w:rPr>
          <w:rFonts w:ascii="Arial" w:hAnsi="Arial" w:cs="Arial"/>
        </w:rPr>
        <w:t>Provision</w:t>
      </w:r>
    </w:p>
    <w:p w:rsidR="004B6893" w:rsidRPr="004B6893" w:rsidRDefault="004B6893" w:rsidP="004B6893">
      <w:pPr>
        <w:pStyle w:val="Listenabsatz"/>
        <w:numPr>
          <w:ilvl w:val="0"/>
          <w:numId w:val="6"/>
        </w:numPr>
        <w:spacing w:after="100" w:afterAutospacing="1" w:line="252" w:lineRule="exact"/>
        <w:ind w:left="360"/>
        <w:jc w:val="both"/>
        <w:rPr>
          <w:rFonts w:ascii="Arial" w:hAnsi="Arial" w:cs="Arial"/>
        </w:rPr>
      </w:pPr>
      <w:r w:rsidRPr="004B6893">
        <w:rPr>
          <w:rFonts w:ascii="Arial" w:hAnsi="Arial" w:cs="Arial"/>
        </w:rPr>
        <w:t xml:space="preserve">Steigerung von </w:t>
      </w:r>
      <w:r w:rsidR="007C7B17">
        <w:rPr>
          <w:rFonts w:ascii="Arial" w:hAnsi="Arial" w:cs="Arial"/>
        </w:rPr>
        <w:t xml:space="preserve">Impuls- </w:t>
      </w:r>
      <w:r w:rsidRPr="004B6893">
        <w:rPr>
          <w:rFonts w:ascii="Arial" w:hAnsi="Arial" w:cs="Arial"/>
        </w:rPr>
        <w:t>Gelegenheitskäufen</w:t>
      </w:r>
    </w:p>
    <w:p w:rsidR="004B6893" w:rsidRPr="004B6893" w:rsidRDefault="004B6893" w:rsidP="004B6893">
      <w:pPr>
        <w:pStyle w:val="Listenabsatz"/>
        <w:numPr>
          <w:ilvl w:val="0"/>
          <w:numId w:val="6"/>
        </w:numPr>
        <w:spacing w:after="100" w:afterAutospacing="1" w:line="252" w:lineRule="exact"/>
        <w:ind w:left="360"/>
        <w:jc w:val="both"/>
        <w:rPr>
          <w:rFonts w:ascii="Arial" w:hAnsi="Arial" w:cs="Arial"/>
        </w:rPr>
      </w:pPr>
      <w:r w:rsidRPr="004B6893">
        <w:rPr>
          <w:rFonts w:ascii="Arial" w:eastAsia="Times New Roman" w:hAnsi="Arial" w:cs="Arial"/>
          <w:bCs/>
          <w:color w:val="000000"/>
          <w:lang w:eastAsia="de-DE"/>
        </w:rPr>
        <w:t>Zeitersparnis</w:t>
      </w:r>
      <w:r w:rsidRPr="004B6893">
        <w:rPr>
          <w:rFonts w:ascii="Arial" w:eastAsia="Times New Roman" w:hAnsi="Arial" w:cs="Arial"/>
          <w:color w:val="000000"/>
          <w:lang w:eastAsia="de-DE"/>
        </w:rPr>
        <w:t xml:space="preserve"> durch einfaches Versenden eigener Pakete </w:t>
      </w:r>
    </w:p>
    <w:p w:rsidR="007C7B17" w:rsidRDefault="007C7B17" w:rsidP="00435F1F">
      <w:pPr>
        <w:spacing w:after="120" w:line="25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 die Kooperationsvereinbarung zwischen aetka und </w:t>
      </w:r>
      <w:r w:rsidR="00EB53A5">
        <w:rPr>
          <w:rFonts w:ascii="Arial" w:hAnsi="Arial" w:cs="Arial"/>
        </w:rPr>
        <w:t xml:space="preserve">Deutsche Post </w:t>
      </w:r>
      <w:bookmarkStart w:id="2" w:name="_GoBack"/>
      <w:bookmarkEnd w:id="2"/>
      <w:r>
        <w:rPr>
          <w:rFonts w:ascii="Arial" w:hAnsi="Arial" w:cs="Arial"/>
        </w:rPr>
        <w:t xml:space="preserve">DHL erhalten die Mitglieder </w:t>
      </w:r>
      <w:r w:rsidR="00554D95">
        <w:rPr>
          <w:rFonts w:ascii="Arial" w:hAnsi="Arial" w:cs="Arial"/>
        </w:rPr>
        <w:t xml:space="preserve">Beratung und Support von einem Expertenteam des Dienstleisters und profitieren bei Vertragsabschluss von einem zügigen </w:t>
      </w:r>
      <w:proofErr w:type="spellStart"/>
      <w:r w:rsidR="00554D95">
        <w:rPr>
          <w:rFonts w:ascii="Arial" w:hAnsi="Arial" w:cs="Arial"/>
        </w:rPr>
        <w:t>Onboarding</w:t>
      </w:r>
      <w:proofErr w:type="spellEnd"/>
      <w:r w:rsidR="00554D95">
        <w:rPr>
          <w:rFonts w:ascii="Arial" w:hAnsi="Arial" w:cs="Arial"/>
        </w:rPr>
        <w:t>-Prozess.</w:t>
      </w:r>
    </w:p>
    <w:p w:rsidR="00393E86" w:rsidRDefault="00B554EB" w:rsidP="00435F1F">
      <w:pPr>
        <w:spacing w:after="120" w:line="25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Voraussetzung für die Eröffnung </w:t>
      </w:r>
      <w:r w:rsidR="00554D95">
        <w:rPr>
          <w:rFonts w:ascii="Arial" w:hAnsi="Arial" w:cs="Arial"/>
        </w:rPr>
        <w:t xml:space="preserve">des DHL-Paketshops </w:t>
      </w:r>
      <w:r>
        <w:rPr>
          <w:rFonts w:ascii="Arial" w:hAnsi="Arial" w:cs="Arial"/>
        </w:rPr>
        <w:t>sind – neben der unternehmerischen Überlegung – Kapazitäten zur Paketlagerung (2 Quadratmeter). Investitionen, etwa in zusätzliches Personal sind nicht gefordert, ebenso gibt es keine Mindestlaufzeit des Vertrages.</w:t>
      </w:r>
    </w:p>
    <w:p w:rsidR="00B554EB" w:rsidRDefault="002E0C78" w:rsidP="00435F1F">
      <w:pPr>
        <w:spacing w:after="120" w:line="25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einer aetka-internen Umfrage hatte die Kooperation im Vorfeld den Bedarf der Mitglieder abgefragt und Erfahrungswerte von Partnern mit bestehenden Paketshops in die Gespräche mit dem Dienstleister DHL eingebracht. </w:t>
      </w:r>
    </w:p>
    <w:p w:rsidR="001B3D92" w:rsidRDefault="002E0C78" w:rsidP="001B3D9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r>
        <w:rPr>
          <w:rFonts w:ascii="Arial" w:eastAsia="Times New Roman" w:hAnsi="Arial" w:cs="Arial"/>
          <w:color w:val="000000" w:themeColor="text1"/>
          <w:lang w:eastAsia="de-DE"/>
        </w:rPr>
        <w:t xml:space="preserve">Interessierte aetka-Fachhändler erhalten über ihren Kundenbetreuer alle </w:t>
      </w:r>
      <w:r w:rsidR="001B3D92">
        <w:rPr>
          <w:rFonts w:ascii="Arial" w:eastAsia="Times New Roman" w:hAnsi="Arial" w:cs="Arial"/>
          <w:color w:val="000000" w:themeColor="text1"/>
          <w:lang w:eastAsia="de-DE"/>
        </w:rPr>
        <w:t xml:space="preserve">notwendigen </w:t>
      </w:r>
      <w:r w:rsidR="00554D95">
        <w:rPr>
          <w:rFonts w:ascii="Arial" w:eastAsia="Times New Roman" w:hAnsi="Arial" w:cs="Arial"/>
          <w:color w:val="000000" w:themeColor="text1"/>
          <w:lang w:eastAsia="de-DE"/>
        </w:rPr>
        <w:t>Detailinformationen.</w:t>
      </w:r>
      <w:r w:rsidR="001B3D92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bookmarkEnd w:id="0"/>
    </w:p>
    <w:p w:rsidR="00842A2D" w:rsidRPr="00522632" w:rsidRDefault="00842A2D" w:rsidP="00842A2D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2632">
        <w:rPr>
          <w:rFonts w:ascii="Arial" w:eastAsia="Times New Roman" w:hAnsi="Arial" w:cs="Arial"/>
          <w:b/>
          <w:lang w:eastAsia="de-DE"/>
        </w:rPr>
        <w:t xml:space="preserve">aetka Communication Center AG </w:t>
      </w:r>
      <w:r w:rsidRPr="00522632">
        <w:rPr>
          <w:rFonts w:ascii="Arial" w:eastAsia="Times New Roman" w:hAnsi="Arial" w:cs="Arial"/>
          <w:b/>
          <w:lang w:eastAsia="de-DE"/>
        </w:rPr>
        <w:tab/>
        <w:t>Internet:</w:t>
      </w:r>
      <w:r w:rsidRPr="00522632">
        <w:rPr>
          <w:rFonts w:ascii="Arial" w:eastAsia="Times New Roman" w:hAnsi="Arial" w:cs="Arial"/>
          <w:b/>
          <w:lang w:eastAsia="de-DE"/>
        </w:rPr>
        <w:tab/>
      </w:r>
      <w:r w:rsidRPr="00522632">
        <w:rPr>
          <w:rFonts w:ascii="Arial" w:eastAsia="Times New Roman" w:hAnsi="Arial" w:cs="Arial"/>
          <w:b/>
          <w:lang w:eastAsia="de-DE"/>
        </w:rPr>
        <w:br/>
      </w:r>
      <w:r w:rsidRPr="00522632">
        <w:rPr>
          <w:rFonts w:ascii="Arial" w:eastAsia="Times New Roman" w:hAnsi="Arial" w:cs="Arial"/>
          <w:b/>
          <w:lang w:eastAsia="de-DE"/>
        </w:rPr>
        <w:br/>
      </w:r>
      <w:r w:rsidR="008145C7" w:rsidRPr="00522632">
        <w:rPr>
          <w:rFonts w:ascii="Arial" w:eastAsia="Times New Roman" w:hAnsi="Arial" w:cs="Arial"/>
          <w:lang w:eastAsia="de-DE"/>
        </w:rPr>
        <w:t>Katja Förster</w:t>
      </w:r>
      <w:r w:rsidRPr="00522632">
        <w:rPr>
          <w:rFonts w:ascii="Arial" w:eastAsia="Times New Roman" w:hAnsi="Arial" w:cs="Arial"/>
          <w:lang w:eastAsia="de-DE"/>
        </w:rPr>
        <w:tab/>
        <w:t>www.aetka.de / www.komsa.com</w:t>
      </w:r>
      <w:r w:rsidRPr="00522632">
        <w:rPr>
          <w:rFonts w:ascii="Arial" w:eastAsia="Times New Roman" w:hAnsi="Arial" w:cs="Arial"/>
          <w:lang w:eastAsia="de-DE"/>
        </w:rPr>
        <w:tab/>
      </w:r>
      <w:r w:rsidRPr="00522632">
        <w:rPr>
          <w:rFonts w:ascii="Arial" w:eastAsia="Times New Roman" w:hAnsi="Arial" w:cs="Arial"/>
          <w:lang w:eastAsia="de-DE"/>
        </w:rPr>
        <w:br/>
      </w:r>
      <w:proofErr w:type="spellStart"/>
      <w:r w:rsidRPr="00522632">
        <w:rPr>
          <w:rFonts w:ascii="Arial" w:eastAsia="Times New Roman" w:hAnsi="Arial" w:cs="Arial"/>
          <w:lang w:eastAsia="de-DE"/>
        </w:rPr>
        <w:t>Niederfrohnaer</w:t>
      </w:r>
      <w:proofErr w:type="spellEnd"/>
      <w:r w:rsidRPr="00522632">
        <w:rPr>
          <w:rFonts w:ascii="Arial" w:eastAsia="Times New Roman" w:hAnsi="Arial" w:cs="Arial"/>
          <w:lang w:eastAsia="de-DE"/>
        </w:rPr>
        <w:t xml:space="preserve"> Weg 1</w:t>
      </w:r>
      <w:r w:rsidRPr="00522632">
        <w:rPr>
          <w:rFonts w:ascii="Arial" w:eastAsia="Times New Roman" w:hAnsi="Arial" w:cs="Arial"/>
          <w:lang w:eastAsia="de-DE"/>
        </w:rPr>
        <w:tab/>
        <w:t>www.karlo.de</w:t>
      </w:r>
      <w:r w:rsidRPr="00522632">
        <w:rPr>
          <w:rFonts w:ascii="Arial" w:eastAsia="Times New Roman" w:hAnsi="Arial" w:cs="Arial"/>
          <w:lang w:eastAsia="de-DE"/>
        </w:rPr>
        <w:tab/>
      </w:r>
    </w:p>
    <w:p w:rsidR="00FC6DE3" w:rsidRPr="00522632" w:rsidRDefault="00842A2D" w:rsidP="00F950B7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2632">
        <w:rPr>
          <w:rFonts w:ascii="Arial" w:eastAsia="Times New Roman" w:hAnsi="Arial" w:cs="Arial"/>
          <w:lang w:eastAsia="de-DE"/>
        </w:rPr>
        <w:t xml:space="preserve">09232 Hartmannsdorf </w:t>
      </w:r>
      <w:r w:rsidRPr="00522632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522632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522632">
        <w:rPr>
          <w:rFonts w:ascii="Arial" w:eastAsia="Times New Roman" w:hAnsi="Arial" w:cs="Arial"/>
          <w:b/>
          <w:lang w:eastAsia="de-DE"/>
        </w:rPr>
        <w:t>:</w:t>
      </w:r>
      <w:r w:rsidRPr="00522632">
        <w:rPr>
          <w:rFonts w:ascii="Arial" w:eastAsia="Times New Roman" w:hAnsi="Arial" w:cs="Arial"/>
          <w:lang w:eastAsia="de-DE"/>
        </w:rPr>
        <w:br/>
        <w:t>Tel.: 03722 / 713-750</w:t>
      </w:r>
      <w:r w:rsidRPr="00522632">
        <w:rPr>
          <w:rFonts w:ascii="Arial" w:eastAsia="Times New Roman" w:hAnsi="Arial" w:cs="Arial"/>
          <w:lang w:eastAsia="de-DE"/>
        </w:rPr>
        <w:tab/>
        <w:t>presse@aetka.de</w:t>
      </w:r>
      <w:bookmarkEnd w:id="1"/>
    </w:p>
    <w:sectPr w:rsidR="00FC6DE3" w:rsidRPr="00522632" w:rsidSect="002D54EA">
      <w:headerReference w:type="default" r:id="rId8"/>
      <w:footerReference w:type="even" r:id="rId9"/>
      <w:footerReference w:type="default" r:id="rId10"/>
      <w:pgSz w:w="11906" w:h="16838"/>
      <w:pgMar w:top="3594" w:right="1418" w:bottom="107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BD" w:rsidRDefault="003B1BBD" w:rsidP="00842A2D">
      <w:pPr>
        <w:spacing w:after="0" w:line="240" w:lineRule="auto"/>
      </w:pPr>
      <w:r>
        <w:separator/>
      </w:r>
    </w:p>
  </w:endnote>
  <w:endnote w:type="continuationSeparator" w:id="0">
    <w:p w:rsidR="003B1BBD" w:rsidRDefault="003B1BBD" w:rsidP="0084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 LT 57 Condensed">
    <w:altName w:val="Bell MT"/>
    <w:charset w:val="00"/>
    <w:family w:val="auto"/>
    <w:pitch w:val="variable"/>
    <w:sig w:usb0="80000027" w:usb1="00000000" w:usb2="00000000" w:usb3="00000000" w:csb0="00000001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lusMedium-Roman">
    <w:panose1 w:val="020B0600000000000000"/>
    <w:charset w:val="00"/>
    <w:family w:val="swiss"/>
    <w:pitch w:val="variable"/>
    <w:sig w:usb0="0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54EA" w:rsidRDefault="00EB53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53A5">
      <w:rPr>
        <w:rStyle w:val="Seitenzahl"/>
        <w:noProof/>
      </w:rPr>
      <w:t>1</w:t>
    </w:r>
    <w:r>
      <w:rPr>
        <w:rStyle w:val="Seitenzahl"/>
      </w:rPr>
      <w:fldChar w:fldCharType="end"/>
    </w:r>
  </w:p>
  <w:p w:rsidR="002D54EA" w:rsidRDefault="00EB53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BD" w:rsidRDefault="003B1BBD" w:rsidP="00842A2D">
      <w:pPr>
        <w:spacing w:after="0" w:line="240" w:lineRule="auto"/>
      </w:pPr>
      <w:r>
        <w:separator/>
      </w:r>
    </w:p>
  </w:footnote>
  <w:footnote w:type="continuationSeparator" w:id="0">
    <w:p w:rsidR="003B1BBD" w:rsidRDefault="003B1BBD" w:rsidP="0084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D67ECD" w:rsidP="001B3D92">
    <w:pPr>
      <w:framePr w:w="3553" w:h="1295" w:wrap="auto" w:vAnchor="page" w:hAnchor="page" w:x="7816" w:y="526" w:anchorLock="1"/>
      <w:jc w:val="center"/>
      <w:rPr>
        <w:rFonts w:ascii="MetaPlusMedium-Roman" w:hAnsi="MetaPlusMedium-Roman"/>
        <w:b/>
        <w:sz w:val="18"/>
      </w:rPr>
    </w:pPr>
    <w:r>
      <w:rPr>
        <w:rFonts w:ascii="Futura Md BT" w:hAnsi="Futura Md BT"/>
        <w:noProof/>
        <w:sz w:val="34"/>
        <w:lang w:eastAsia="de-DE"/>
      </w:rPr>
      <w:drawing>
        <wp:inline distT="0" distB="0" distL="0" distR="0" wp14:anchorId="65908A53" wp14:editId="7517805E">
          <wp:extent cx="1285875" cy="1285875"/>
          <wp:effectExtent l="0" t="0" r="9525" b="9525"/>
          <wp:docPr id="2" name="Grafik 2" descr="M:\aetka\ADMINISTRATION\Logo\ConceptCenter\aetka_CC_aufWeiß_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etka\ADMINISTRATION\Logo\ConceptCenter\aetka_CC_aufWeiß_M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152" cy="128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4EA" w:rsidRDefault="00EB53A5" w:rsidP="001B3D92">
    <w:pPr>
      <w:framePr w:w="3553" w:h="1295" w:wrap="auto" w:vAnchor="page" w:hAnchor="page" w:x="7816" w:y="526" w:anchorLock="1"/>
      <w:jc w:val="center"/>
      <w:rPr>
        <w:rFonts w:ascii="Futura Md BT" w:hAnsi="Futura Md BT"/>
        <w:sz w:val="34"/>
      </w:rPr>
    </w:pPr>
  </w:p>
  <w:p w:rsidR="002D54EA" w:rsidRDefault="00EB53A5">
    <w:pPr>
      <w:pStyle w:val="Kopfzeile"/>
    </w:pPr>
  </w:p>
  <w:p w:rsidR="002D54EA" w:rsidRDefault="00EB53A5">
    <w:pPr>
      <w:pStyle w:val="Kopfzeile"/>
    </w:pPr>
  </w:p>
  <w:p w:rsidR="002D54EA" w:rsidRDefault="00EB53A5">
    <w:pPr>
      <w:pStyle w:val="Kopfzeile"/>
    </w:pPr>
  </w:p>
  <w:p w:rsidR="001B3D92" w:rsidRDefault="009B01D0" w:rsidP="001B3D92">
    <w:pPr>
      <w:pStyle w:val="Kopfzeile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Presse-Information</w:t>
    </w:r>
  </w:p>
  <w:p w:rsidR="002D54EA" w:rsidRDefault="001B3D92" w:rsidP="001B3D92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12. Juni 2017</w:t>
    </w:r>
    <w:r w:rsidR="009B01D0">
      <w:rPr>
        <w:rFonts w:ascii="Arial" w:hAnsi="Arial" w:cs="Arial"/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700"/>
    <w:multiLevelType w:val="hybridMultilevel"/>
    <w:tmpl w:val="91C83E24"/>
    <w:lvl w:ilvl="0" w:tplc="5486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3CD"/>
    <w:multiLevelType w:val="hybridMultilevel"/>
    <w:tmpl w:val="6172F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4E5E"/>
    <w:multiLevelType w:val="hybridMultilevel"/>
    <w:tmpl w:val="7F1244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27473C"/>
    <w:multiLevelType w:val="hybridMultilevel"/>
    <w:tmpl w:val="F7F03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79AD"/>
    <w:multiLevelType w:val="hybridMultilevel"/>
    <w:tmpl w:val="5352E3A2"/>
    <w:lvl w:ilvl="0" w:tplc="58F04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0366">
      <w:start w:val="19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4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6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6F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07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AD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2E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7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4979B7"/>
    <w:multiLevelType w:val="multilevel"/>
    <w:tmpl w:val="AB4E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2D"/>
    <w:rsid w:val="00010EF4"/>
    <w:rsid w:val="00022FB0"/>
    <w:rsid w:val="0003324C"/>
    <w:rsid w:val="00042022"/>
    <w:rsid w:val="00042E60"/>
    <w:rsid w:val="0009799A"/>
    <w:rsid w:val="000B6C44"/>
    <w:rsid w:val="000C0B65"/>
    <w:rsid w:val="000C0DBA"/>
    <w:rsid w:val="00111E0E"/>
    <w:rsid w:val="00113295"/>
    <w:rsid w:val="00125727"/>
    <w:rsid w:val="00126C85"/>
    <w:rsid w:val="00133B4F"/>
    <w:rsid w:val="00163FCC"/>
    <w:rsid w:val="00181B63"/>
    <w:rsid w:val="00186226"/>
    <w:rsid w:val="00186DDC"/>
    <w:rsid w:val="0019331F"/>
    <w:rsid w:val="001B14CD"/>
    <w:rsid w:val="001B35A1"/>
    <w:rsid w:val="001B3D92"/>
    <w:rsid w:val="001E2827"/>
    <w:rsid w:val="001E3DE8"/>
    <w:rsid w:val="00213D85"/>
    <w:rsid w:val="00221D77"/>
    <w:rsid w:val="002900DF"/>
    <w:rsid w:val="00290B57"/>
    <w:rsid w:val="002A049E"/>
    <w:rsid w:val="002A1F8F"/>
    <w:rsid w:val="002C286B"/>
    <w:rsid w:val="002C797C"/>
    <w:rsid w:val="002D10C6"/>
    <w:rsid w:val="002D238B"/>
    <w:rsid w:val="002E0C78"/>
    <w:rsid w:val="00303339"/>
    <w:rsid w:val="003047EE"/>
    <w:rsid w:val="00333673"/>
    <w:rsid w:val="00335C04"/>
    <w:rsid w:val="00345EB0"/>
    <w:rsid w:val="003716F2"/>
    <w:rsid w:val="00393E86"/>
    <w:rsid w:val="003A391D"/>
    <w:rsid w:val="003B1BBD"/>
    <w:rsid w:val="003C1EAB"/>
    <w:rsid w:val="003D7C21"/>
    <w:rsid w:val="00410B71"/>
    <w:rsid w:val="00435F1F"/>
    <w:rsid w:val="00441ED7"/>
    <w:rsid w:val="0046712E"/>
    <w:rsid w:val="00481F37"/>
    <w:rsid w:val="0049361D"/>
    <w:rsid w:val="004A290E"/>
    <w:rsid w:val="004B6893"/>
    <w:rsid w:val="004D3A7A"/>
    <w:rsid w:val="004E0418"/>
    <w:rsid w:val="004F6F03"/>
    <w:rsid w:val="0051672B"/>
    <w:rsid w:val="005178FF"/>
    <w:rsid w:val="00522632"/>
    <w:rsid w:val="00534B74"/>
    <w:rsid w:val="00535DCB"/>
    <w:rsid w:val="00554D95"/>
    <w:rsid w:val="00556D90"/>
    <w:rsid w:val="005606E7"/>
    <w:rsid w:val="00566951"/>
    <w:rsid w:val="005A7FCC"/>
    <w:rsid w:val="005C5708"/>
    <w:rsid w:val="005E544B"/>
    <w:rsid w:val="00610550"/>
    <w:rsid w:val="0061510D"/>
    <w:rsid w:val="00673209"/>
    <w:rsid w:val="0068190B"/>
    <w:rsid w:val="006A23B2"/>
    <w:rsid w:val="006C2CA3"/>
    <w:rsid w:val="007043C6"/>
    <w:rsid w:val="007166C4"/>
    <w:rsid w:val="00732369"/>
    <w:rsid w:val="007337F7"/>
    <w:rsid w:val="0073770C"/>
    <w:rsid w:val="0075233D"/>
    <w:rsid w:val="007B2541"/>
    <w:rsid w:val="007C33C1"/>
    <w:rsid w:val="007C4EED"/>
    <w:rsid w:val="007C7616"/>
    <w:rsid w:val="007C7B17"/>
    <w:rsid w:val="007E2B36"/>
    <w:rsid w:val="00807273"/>
    <w:rsid w:val="008079D1"/>
    <w:rsid w:val="00807D7C"/>
    <w:rsid w:val="008145C7"/>
    <w:rsid w:val="00824976"/>
    <w:rsid w:val="00830B33"/>
    <w:rsid w:val="00842A2D"/>
    <w:rsid w:val="00850C42"/>
    <w:rsid w:val="0085504A"/>
    <w:rsid w:val="00862A4D"/>
    <w:rsid w:val="00891C10"/>
    <w:rsid w:val="00896BFD"/>
    <w:rsid w:val="008A5B6F"/>
    <w:rsid w:val="008C1069"/>
    <w:rsid w:val="008D1503"/>
    <w:rsid w:val="008D3C58"/>
    <w:rsid w:val="008D6CB3"/>
    <w:rsid w:val="008D7AAA"/>
    <w:rsid w:val="008F16DD"/>
    <w:rsid w:val="009231E4"/>
    <w:rsid w:val="00927AA3"/>
    <w:rsid w:val="0096448D"/>
    <w:rsid w:val="0096666A"/>
    <w:rsid w:val="00984F69"/>
    <w:rsid w:val="00992E4A"/>
    <w:rsid w:val="00994237"/>
    <w:rsid w:val="009A083F"/>
    <w:rsid w:val="009B01D0"/>
    <w:rsid w:val="009B74C8"/>
    <w:rsid w:val="009C0DF8"/>
    <w:rsid w:val="009C4427"/>
    <w:rsid w:val="009C512C"/>
    <w:rsid w:val="009E1A82"/>
    <w:rsid w:val="009E6176"/>
    <w:rsid w:val="009F4A83"/>
    <w:rsid w:val="00A6075A"/>
    <w:rsid w:val="00A907B0"/>
    <w:rsid w:val="00A915B8"/>
    <w:rsid w:val="00A91EB5"/>
    <w:rsid w:val="00A9368B"/>
    <w:rsid w:val="00A9761E"/>
    <w:rsid w:val="00AA05DF"/>
    <w:rsid w:val="00AE0766"/>
    <w:rsid w:val="00B0541C"/>
    <w:rsid w:val="00B1787B"/>
    <w:rsid w:val="00B554EB"/>
    <w:rsid w:val="00B81D1F"/>
    <w:rsid w:val="00B85A30"/>
    <w:rsid w:val="00BB6B9E"/>
    <w:rsid w:val="00BE2D67"/>
    <w:rsid w:val="00BF016F"/>
    <w:rsid w:val="00C01757"/>
    <w:rsid w:val="00C4607C"/>
    <w:rsid w:val="00C81C4F"/>
    <w:rsid w:val="00CD0420"/>
    <w:rsid w:val="00CE1C5E"/>
    <w:rsid w:val="00D03457"/>
    <w:rsid w:val="00D14A70"/>
    <w:rsid w:val="00D2239E"/>
    <w:rsid w:val="00D40A2A"/>
    <w:rsid w:val="00D4243D"/>
    <w:rsid w:val="00D533E9"/>
    <w:rsid w:val="00D67ECD"/>
    <w:rsid w:val="00DA4C3A"/>
    <w:rsid w:val="00E144B4"/>
    <w:rsid w:val="00E25134"/>
    <w:rsid w:val="00E44BF6"/>
    <w:rsid w:val="00E60CA0"/>
    <w:rsid w:val="00E67211"/>
    <w:rsid w:val="00EB53A5"/>
    <w:rsid w:val="00EC6E1F"/>
    <w:rsid w:val="00EF4CB2"/>
    <w:rsid w:val="00F3316E"/>
    <w:rsid w:val="00F351D6"/>
    <w:rsid w:val="00F566A2"/>
    <w:rsid w:val="00F56EE0"/>
    <w:rsid w:val="00F7049E"/>
    <w:rsid w:val="00F87807"/>
    <w:rsid w:val="00F94F97"/>
    <w:rsid w:val="00F950B7"/>
    <w:rsid w:val="00FC09B3"/>
    <w:rsid w:val="00FC6DE3"/>
    <w:rsid w:val="00FD16AF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  <w:style w:type="character" w:styleId="Fett">
    <w:name w:val="Strong"/>
    <w:basedOn w:val="Absatz-Standardschriftart"/>
    <w:uiPriority w:val="22"/>
    <w:qFormat/>
    <w:rsid w:val="00393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  <w:style w:type="character" w:styleId="Fett">
    <w:name w:val="Strong"/>
    <w:basedOn w:val="Absatz-Standardschriftart"/>
    <w:uiPriority w:val="22"/>
    <w:qFormat/>
    <w:rsid w:val="00393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6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Förster</dc:creator>
  <cp:lastModifiedBy>Katja Förster</cp:lastModifiedBy>
  <cp:revision>11</cp:revision>
  <cp:lastPrinted>2017-06-09T15:47:00Z</cp:lastPrinted>
  <dcterms:created xsi:type="dcterms:W3CDTF">2017-05-08T09:24:00Z</dcterms:created>
  <dcterms:modified xsi:type="dcterms:W3CDTF">2017-06-09T15:52:00Z</dcterms:modified>
</cp:coreProperties>
</file>